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C5594E2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649C468F" w:rsidR="00BA0E64" w:rsidRPr="00B44FE7" w:rsidRDefault="00B44FE7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B44FE7">
        <w:rPr>
          <w:sz w:val="28"/>
          <w:szCs w:val="28"/>
          <w:u w:val="single"/>
        </w:rPr>
        <w:t>М</w:t>
      </w:r>
      <w:r w:rsidR="004D6550">
        <w:rPr>
          <w:sz w:val="28"/>
          <w:szCs w:val="28"/>
          <w:u w:val="single"/>
        </w:rPr>
        <w:t>ЕТОДЫ ВИЗУАЛИЗАЦИИ ДАННЫХ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1984AD7B" w14:textId="77777777" w:rsidR="0015097B" w:rsidRPr="00444FB3" w:rsidRDefault="0015097B" w:rsidP="0015097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1200019B" w14:textId="77777777" w:rsidR="0015097B" w:rsidRPr="00444FB3" w:rsidRDefault="0015097B" w:rsidP="0015097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254A5A72" w14:textId="77777777" w:rsidR="0015097B" w:rsidRPr="00444FB3" w:rsidRDefault="0015097B" w:rsidP="0015097B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307C97AA" w14:textId="74582CAB" w:rsidR="0015097B" w:rsidRPr="00017741" w:rsidRDefault="0015097B" w:rsidP="0015097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 w:rsidR="00D54CEF">
        <w:rPr>
          <w:color w:val="000000"/>
          <w:sz w:val="28"/>
          <w:szCs w:val="28"/>
        </w:rPr>
        <w:t>3</w:t>
      </w:r>
      <w:bookmarkStart w:id="1" w:name="_GoBack"/>
      <w:bookmarkEnd w:id="1"/>
    </w:p>
    <w:p w14:paraId="36D31CD7" w14:textId="77777777" w:rsidR="0015097B" w:rsidRDefault="0015097B" w:rsidP="0015097B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C0633E7" w14:textId="77777777" w:rsidR="0015097B" w:rsidRPr="005C6B40" w:rsidRDefault="0015097B" w:rsidP="0015097B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7E6E4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7E6E4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7E6E48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7E6E4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7E6E48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E6E48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4D6550" w:rsidRDefault="00B86C3B" w:rsidP="004D6550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4D6550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370A0A6C" w14:textId="77777777" w:rsidR="004D6550" w:rsidRPr="004D6550" w:rsidRDefault="004D6550" w:rsidP="004D6550">
      <w:pPr>
        <w:pStyle w:val="a3"/>
        <w:numPr>
          <w:ilvl w:val="0"/>
          <w:numId w:val="22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sz w:val="28"/>
          <w:szCs w:val="28"/>
        </w:rPr>
      </w:pPr>
      <w:r w:rsidRPr="004D6550">
        <w:rPr>
          <w:rFonts w:ascii="Times New Roman" w:hAnsi="Times New Roman"/>
          <w:sz w:val="28"/>
          <w:szCs w:val="28"/>
        </w:rPr>
        <w:t xml:space="preserve">Информационные технологии визуализации бизнес-информации : учебное пособие / Л.А. Ежова, О.В. Рябова, Л.В. Стацюк. Москва : КНОРУС, 2024. - 258 с. – </w:t>
      </w:r>
      <w:r w:rsidRPr="004D6550">
        <w:rPr>
          <w:rFonts w:ascii="Times New Roman" w:hAnsi="Times New Roman"/>
          <w:sz w:val="28"/>
          <w:szCs w:val="28"/>
          <w:lang w:val="en-US"/>
        </w:rPr>
        <w:t>URL</w:t>
      </w:r>
      <w:r w:rsidRPr="004D6550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4D6550">
          <w:rPr>
            <w:rStyle w:val="a5"/>
            <w:rFonts w:ascii="Times New Roman" w:hAnsi="Times New Roman"/>
            <w:sz w:val="28"/>
            <w:szCs w:val="28"/>
          </w:rPr>
          <w:t>https://book.ru/books/951949</w:t>
        </w:r>
      </w:hyperlink>
    </w:p>
    <w:p w14:paraId="01F8743D" w14:textId="77777777" w:rsidR="004D6550" w:rsidRPr="004D6550" w:rsidRDefault="00DE0695" w:rsidP="004D6550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4D6550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5B487D71" w14:textId="33900980" w:rsidR="007E6E48" w:rsidRPr="004D6550" w:rsidRDefault="004D6550" w:rsidP="004D6550">
      <w:pPr>
        <w:pStyle w:val="a3"/>
        <w:numPr>
          <w:ilvl w:val="0"/>
          <w:numId w:val="22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b/>
          <w:bCs/>
          <w:color w:val="auto"/>
          <w:sz w:val="28"/>
          <w:szCs w:val="28"/>
          <w:u w:val="none"/>
        </w:rPr>
      </w:pPr>
      <w:r w:rsidRPr="004D6550">
        <w:rPr>
          <w:rFonts w:ascii="Times New Roman" w:hAnsi="Times New Roman"/>
          <w:bCs/>
          <w:sz w:val="28"/>
          <w:szCs w:val="28"/>
        </w:rPr>
        <w:t xml:space="preserve">Васильева, Е. В., Дизайн-мышление: методология креативного развития : учебник / Е. В. Васильева. — Москва : КноРус, 2025. — 560 с.— URL: </w:t>
      </w:r>
      <w:hyperlink r:id="rId8" w:history="1">
        <w:r w:rsidRPr="004D6550">
          <w:rPr>
            <w:rStyle w:val="a5"/>
            <w:rFonts w:ascii="Times New Roman" w:hAnsi="Times New Roman"/>
            <w:bCs/>
            <w:sz w:val="28"/>
            <w:szCs w:val="28"/>
          </w:rPr>
          <w:t>https://book.ru/book/955428</w:t>
        </w:r>
      </w:hyperlink>
    </w:p>
    <w:p w14:paraId="37C935F7" w14:textId="77777777" w:rsidR="004D6550" w:rsidRPr="004D6550" w:rsidRDefault="004D6550" w:rsidP="004D6550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b/>
          <w:bCs/>
          <w:color w:val="auto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9B33A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D54CEF" w14:paraId="21944A00" w14:textId="77777777" w:rsidTr="009B33A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4B0DC7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54CEF" w14:paraId="045E8322" w14:textId="77777777" w:rsidTr="009B33A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4B0DC7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54CEF" w14:paraId="28E640E0" w14:textId="77777777" w:rsidTr="009B33A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4B0DC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54CEF" w14:paraId="11626329" w14:textId="77777777" w:rsidTr="009B33A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4B0DC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D54CEF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D54CEF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54CEF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54CEF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D54CEF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D54CEF">
        <w:rPr>
          <w:color w:val="000000"/>
        </w:rPr>
        <w:t>2.</w:t>
      </w:r>
      <w:r w:rsidRPr="00D54CEF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D54CEF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D54CEF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D54CEF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D54CEF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99F80" w14:textId="77777777" w:rsidR="004B0DC7" w:rsidRDefault="004B0DC7" w:rsidP="00E80831">
      <w:r>
        <w:separator/>
      </w:r>
    </w:p>
  </w:endnote>
  <w:endnote w:type="continuationSeparator" w:id="0">
    <w:p w14:paraId="7F8DC188" w14:textId="77777777" w:rsidR="004B0DC7" w:rsidRDefault="004B0DC7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2F533" w14:textId="77777777" w:rsidR="004B0DC7" w:rsidRDefault="004B0DC7" w:rsidP="00E80831">
      <w:r>
        <w:separator/>
      </w:r>
    </w:p>
  </w:footnote>
  <w:footnote w:type="continuationSeparator" w:id="0">
    <w:p w14:paraId="10627ABB" w14:textId="77777777" w:rsidR="004B0DC7" w:rsidRDefault="004B0DC7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FE7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4A0C90"/>
    <w:multiLevelType w:val="hybridMultilevel"/>
    <w:tmpl w:val="65DC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406A09"/>
    <w:multiLevelType w:val="hybridMultilevel"/>
    <w:tmpl w:val="7BDC0F5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97F0117"/>
    <w:multiLevelType w:val="hybridMultilevel"/>
    <w:tmpl w:val="2856C514"/>
    <w:lvl w:ilvl="0" w:tplc="13B8E35A">
      <w:start w:val="1"/>
      <w:numFmt w:val="decimal"/>
      <w:lvlText w:val="%1."/>
      <w:lvlJc w:val="left"/>
      <w:pPr>
        <w:ind w:left="928" w:hanging="360"/>
      </w:pPr>
      <w:rPr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13"/>
  </w:num>
  <w:num w:numId="5">
    <w:abstractNumId w:val="14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1"/>
  </w:num>
  <w:num w:numId="10">
    <w:abstractNumId w:val="6"/>
  </w:num>
  <w:num w:numId="11">
    <w:abstractNumId w:val="16"/>
  </w:num>
  <w:num w:numId="12">
    <w:abstractNumId w:val="7"/>
  </w:num>
  <w:num w:numId="13">
    <w:abstractNumId w:val="17"/>
  </w:num>
  <w:num w:numId="14">
    <w:abstractNumId w:val="3"/>
  </w:num>
  <w:num w:numId="15">
    <w:abstractNumId w:val="19"/>
  </w:num>
  <w:num w:numId="16">
    <w:abstractNumId w:val="8"/>
  </w:num>
  <w:num w:numId="17">
    <w:abstractNumId w:val="2"/>
  </w:num>
  <w:num w:numId="18">
    <w:abstractNumId w:val="5"/>
  </w:num>
  <w:num w:numId="19">
    <w:abstractNumId w:val="12"/>
  </w:num>
  <w:num w:numId="20">
    <w:abstractNumId w:val="9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097B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05F7"/>
    <w:rsid w:val="00391D52"/>
    <w:rsid w:val="00397211"/>
    <w:rsid w:val="00464587"/>
    <w:rsid w:val="004877C3"/>
    <w:rsid w:val="004B0DC7"/>
    <w:rsid w:val="004D6550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E6E48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B33A1"/>
    <w:rsid w:val="00A20135"/>
    <w:rsid w:val="00A302B8"/>
    <w:rsid w:val="00A36CCE"/>
    <w:rsid w:val="00A6750A"/>
    <w:rsid w:val="00AB697E"/>
    <w:rsid w:val="00B16798"/>
    <w:rsid w:val="00B32B39"/>
    <w:rsid w:val="00B44FE7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54CEF"/>
    <w:rsid w:val="00DE0695"/>
    <w:rsid w:val="00E24CE1"/>
    <w:rsid w:val="00E33405"/>
    <w:rsid w:val="00E417D5"/>
    <w:rsid w:val="00E751C8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E6E4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E6E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5428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194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54</cp:revision>
  <cp:lastPrinted>2025-09-05T09:11:00Z</cp:lastPrinted>
  <dcterms:created xsi:type="dcterms:W3CDTF">2021-11-25T06:44:00Z</dcterms:created>
  <dcterms:modified xsi:type="dcterms:W3CDTF">2025-09-08T07:08:00Z</dcterms:modified>
</cp:coreProperties>
</file>